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B4" w:rsidRDefault="008403B4" w:rsidP="008403B4">
      <w:pPr>
        <w:rPr>
          <w:rFonts w:ascii="Tahoma" w:hAnsi="Tahoma" w:cs="Tahoma"/>
          <w:bCs/>
          <w:szCs w:val="24"/>
        </w:rPr>
      </w:pPr>
    </w:p>
    <w:p w:rsidR="008403B4" w:rsidRDefault="008403B4" w:rsidP="008403B4">
      <w:pPr>
        <w:rPr>
          <w:rFonts w:ascii="Tahoma" w:hAnsi="Tahoma" w:cs="Tahoma"/>
          <w:bCs/>
          <w:szCs w:val="24"/>
        </w:rPr>
      </w:pPr>
    </w:p>
    <w:p w:rsidR="008403B4" w:rsidRPr="00072B3B" w:rsidRDefault="008403B4" w:rsidP="008403B4">
      <w:p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             </w:t>
      </w:r>
      <w:r w:rsidRPr="00072B3B">
        <w:rPr>
          <w:rFonts w:ascii="Tahoma" w:hAnsi="Tahoma" w:cs="Tahoma"/>
          <w:bCs/>
          <w:szCs w:val="24"/>
        </w:rPr>
        <w:t>KURUMCA YURTDIŞINDAN TEMİN EDİLECEK İLAÇ LİSTESİ</w:t>
      </w:r>
    </w:p>
    <w:tbl>
      <w:tblPr>
        <w:tblpPr w:leftFromText="141" w:rightFromText="141" w:vertAnchor="text" w:horzAnchor="margin" w:tblpY="518"/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000"/>
      </w:tblGrid>
      <w:tr w:rsidR="008403B4" w:rsidRPr="008403B4" w:rsidTr="008403B4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b/>
                <w:bCs/>
                <w:lang w:eastAsia="tr-TR"/>
              </w:rPr>
              <w:t>İLAÇ ADI</w:t>
            </w:r>
          </w:p>
        </w:tc>
      </w:tr>
      <w:tr w:rsidR="008403B4" w:rsidRPr="008403B4" w:rsidTr="008403B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lang w:eastAsia="tr-TR"/>
              </w:rPr>
              <w:t xml:space="preserve">BOSULIF 500 MG 30 TB </w:t>
            </w:r>
          </w:p>
        </w:tc>
      </w:tr>
      <w:tr w:rsidR="008403B4" w:rsidRPr="008403B4" w:rsidTr="008403B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b/>
                <w:bCs/>
                <w:lang w:eastAsia="tr-TR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lang w:eastAsia="tr-TR"/>
              </w:rPr>
              <w:t>CHENODEOXYCHOLIC ACID LEADIANT 250 MG 100 CAPSUL</w:t>
            </w:r>
          </w:p>
        </w:tc>
      </w:tr>
      <w:tr w:rsidR="008403B4" w:rsidRPr="008403B4" w:rsidTr="008403B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b/>
                <w:bCs/>
                <w:lang w:eastAsia="tr-TR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lang w:eastAsia="tr-TR"/>
              </w:rPr>
              <w:t>FOSCARNET GEMEPE 24 MG/ML 250 ML 1 VIAL</w:t>
            </w:r>
          </w:p>
        </w:tc>
      </w:tr>
      <w:tr w:rsidR="008403B4" w:rsidRPr="008403B4" w:rsidTr="008403B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B4" w:rsidRPr="008403B4" w:rsidRDefault="008403B4" w:rsidP="008403B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03B4">
              <w:rPr>
                <w:rFonts w:ascii="Calibri" w:eastAsia="Times New Roman" w:hAnsi="Calibri" w:cs="Calibri"/>
                <w:lang w:eastAsia="tr-TR"/>
              </w:rPr>
              <w:t>VYNDAQEL 20 MG 30 CAPSULES</w:t>
            </w:r>
          </w:p>
        </w:tc>
      </w:tr>
    </w:tbl>
    <w:p w:rsidR="008403B4" w:rsidRDefault="008403B4" w:rsidP="008403B4">
      <w:bookmarkStart w:id="0" w:name="_GoBack"/>
      <w:bookmarkEnd w:id="0"/>
    </w:p>
    <w:sectPr w:rsidR="0084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4"/>
    <w:rsid w:val="008403B4"/>
    <w:rsid w:val="00D1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102"/>
  <w15:chartTrackingRefBased/>
  <w15:docId w15:val="{94A27C13-F4DB-4990-A62E-8FFA92C8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ILTUG CAGRI BIGE SEYMEN BESPARMAK</dc:creator>
  <cp:keywords/>
  <dc:description/>
  <cp:lastModifiedBy>ILTUG CAGRI BIGE SEYMEN BESPARMAK</cp:lastModifiedBy>
  <cp:revision>1</cp:revision>
  <dcterms:created xsi:type="dcterms:W3CDTF">2019-01-14T12:43:00Z</dcterms:created>
  <dcterms:modified xsi:type="dcterms:W3CDTF">2019-01-14T12:51:00Z</dcterms:modified>
</cp:coreProperties>
</file>